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Ahmad Gharbeia</w:t>
      </w:r>
    </w:p>
    <w:p>
      <w:r>
        <w:rPr>
          <w:color w:val="64748B"/>
          <w:sz w:val="20"/>
        </w:rPr>
        <w:t xml:space="preserve">https://vutuv.de/agharbeia</w:t>
      </w:r>
    </w:p>
    <w:p>
      <w:r>
        <w:rPr>
          <w:color w:val="64748B"/>
          <w:sz w:val="20"/>
        </w:rPr>
        <w:t xml:space="preserve">10117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Technologist, Sovereign Tech Agency</w:t>
      </w:r>
    </w:p>
    <w:p>
      <w:r>
        <w:rPr>
          <w:color w:val="64748B"/>
          <w:sz w:val="20"/>
        </w:rPr>
        <w:t xml:space="preserve">2/2025 - Present</w:t>
      </w:r>
    </w:p>
    <w:p>
      <w:pPr>
        <w:pStyle w:val="Heading1"/>
      </w:pPr>
      <w:r>
        <w:t xml:space="preserve">Tags</w:t>
      </w:r>
    </w:p>
    <w:p>
      <w:r>
        <w:t xml:space="preserve">Free Software | ICT for Public good | open knowledge | social change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