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Schell</w:t>
      </w:r>
    </w:p>
    <w:p>
      <w:r>
        <w:rPr>
          <w:color w:val="64748B"/>
          <w:sz w:val="20"/>
        </w:rPr>
        <w:t xml:space="preserve">info@schellmedia.de | https://vutuv.de/alexander_schell</w:t>
      </w:r>
    </w:p>
    <w:p>
      <w:r>
        <w:rPr>
          <w:color w:val="64748B"/>
          <w:sz w:val="20"/>
        </w:rPr>
        <w:t xml:space="preserve">35080 Bad Endbach, Germany</w:t>
      </w:r>
    </w:p>
    <w:p>
      <w:pPr>
        <w:pStyle w:val="Heading1"/>
      </w:pPr>
      <w:r>
        <w:t xml:space="preserve">Tags</w:t>
      </w:r>
    </w:p>
    <w:p>
      <w:r>
        <w:t xml:space="preserve">Benefits für attraktive Arbeitgeber | betriebliche Gesundheitsförderung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