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Andre Weeber-Gierke</w:t>
      </w:r>
    </w:p>
    <w:p>
      <w:r>
        <w:rPr>
          <w:color w:val="64748B"/>
          <w:sz w:val="20"/>
        </w:rPr>
        <w:t xml:space="preserve">aweeber-gierke@spotxchange.com | https://vutuv.de/andre_weeber_gi</w:t>
      </w:r>
    </w:p>
    <w:p>
      <w:pPr>
        <w:pStyle w:val="Heading1"/>
      </w:pPr>
      <w:r>
        <w:t xml:space="preserve">Tags</w:t>
      </w:r>
    </w:p>
    <w:p>
      <w:r>
        <w:t xml:space="preserve">office | programmatic advertising | salesforce | ssp | video advertising | wordpress</w:t>
      </w:r>
    </w:p>
    <w:p>
      <w:pPr>
        <w:pStyle w:val="Heading1"/>
      </w:pPr>
      <w:r>
        <w:t xml:space="preserve">Profiles</w:t>
      </w:r>
    </w:p>
    <w:p>
      <w:r>
        <w:t xml:space="preserve">Twitter: http://twitter.com/SpotX_DACH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