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Siegert</w:t>
      </w:r>
    </w:p>
    <w:p>
      <w:r>
        <w:rPr>
          <w:color w:val="64748B"/>
          <w:sz w:val="20"/>
        </w:rPr>
        <w:t xml:space="preserve">https://vutuv.de/andreas_siegert</w:t>
      </w:r>
    </w:p>
    <w:p>
      <w:pPr>
        <w:pStyle w:val="Heading1"/>
      </w:pPr>
      <w:r>
        <w:t xml:space="preserve">Tags</w:t>
      </w:r>
    </w:p>
    <w:p>
      <w:r>
        <w:t xml:space="preserve">bsi grundschutz | ciso | common criteria | isms | iso27000 | it-security | pci | security audit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