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Andrey Stepanenko</w:t>
      </w:r>
    </w:p>
    <w:p>
      <w:r>
        <w:t xml:space="preserve">I combine journalistic precision with international IT experience. With NARRIEL, I help organizations scale AI without losing control over meaning, context, brand, and accountability. Use Case Check: narriel.com | as@narriel.com</w:t>
      </w:r>
    </w:p>
    <w:p>
      <w:r>
        <w:rPr>
          <w:color w:val="64748B"/>
          <w:sz w:val="20"/>
        </w:rPr>
        <w:t xml:space="preserve">as@narriel.com | https://vutuv.de/andrey_stepanen</w:t>
      </w:r>
    </w:p>
    <w:p>
      <w:pPr>
        <w:pStyle w:val="Heading1"/>
      </w:pPr>
      <w:r>
        <w:t xml:space="preserve">Tags</w:t>
      </w:r>
    </w:p>
    <w:p>
      <w:r>
        <w:t xml:space="preserve">autor | content | AI-Governance | Semantik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