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Arno Schröder</w:t>
      </w:r>
    </w:p>
    <w:p>
      <w:r>
        <w:rPr>
          <w:color w:val="64748B"/>
          <w:sz w:val="20"/>
        </w:rPr>
        <w:t xml:space="preserve">+491736761962 | https://vutuv.de/arno_schroeder</w:t>
      </w:r>
    </w:p>
    <w:p>
      <w:r>
        <w:rPr>
          <w:color w:val="64748B"/>
          <w:sz w:val="20"/>
        </w:rPr>
        <w:t xml:space="preserve">Swisttalstr. 15, 50968 Köln,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Immobilienrecht, GALERIA Kaufhof GmbH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General Counsel, HBS Global Properties Germany GmbH</w:t>
      </w:r>
    </w:p>
    <w:p>
      <w:r>
        <w:rPr>
          <w:color w:val="64748B"/>
          <w:sz w:val="20"/>
        </w:rPr>
        <w:t xml:space="preserve">10/2014 - 8/2016</w:t>
      </w:r>
    </w:p>
    <w:p>
      <w:pPr>
        <w:spacing w:after="20"/>
      </w:pPr>
      <w:r>
        <w:rPr>
          <w:b/>
        </w:rPr>
        <w:t xml:space="preserve">Legal Counsel , METRO Properties GmbH &amp; Co. KG</w:t>
      </w:r>
    </w:p>
    <w:p>
      <w:r>
        <w:rPr>
          <w:color w:val="64748B"/>
          <w:sz w:val="20"/>
        </w:rPr>
        <w:t xml:space="preserve">6/2007 - 9/2014</w:t>
      </w:r>
    </w:p>
    <w:p>
      <w:r>
        <w:t xml:space="preserve">Immobilienrecht</w:t>
      </w:r>
    </w:p>
    <w:p>
      <w:pPr>
        <w:spacing w:after="20"/>
      </w:pPr>
      <w:r>
        <w:rPr>
          <w:b/>
        </w:rPr>
        <w:t xml:space="preserve">Legal Counsel, Ed. Züblin AG</w:t>
      </w:r>
    </w:p>
    <w:p>
      <w:r>
        <w:rPr>
          <w:color w:val="64748B"/>
          <w:sz w:val="20"/>
        </w:rPr>
        <w:t xml:space="preserve">6/2004 - 5/2007</w:t>
      </w:r>
    </w:p>
    <w:p>
      <w:r>
        <w:t xml:space="preserve">Baurecht, Vergaberecht</w:t>
      </w:r>
    </w:p>
    <w:p>
      <w:pPr>
        <w:spacing w:after="20"/>
      </w:pPr>
      <w:r>
        <w:rPr>
          <w:b/>
        </w:rPr>
        <w:t xml:space="preserve">Rechtsanwalt, Rechtsanwälte Holthoff-Pförtner</w:t>
      </w:r>
    </w:p>
    <w:p>
      <w:r>
        <w:rPr>
          <w:color w:val="64748B"/>
          <w:sz w:val="20"/>
        </w:rPr>
        <w:t xml:space="preserve">6/2001 - 3/2004</w:t>
      </w:r>
    </w:p>
    <w:p>
      <w:r>
        <w:t xml:space="preserve">Baurecht, Strafrecht</w:t>
      </w:r>
    </w:p>
    <w:p>
      <w:pPr>
        <w:spacing w:after="20"/>
      </w:pPr>
      <w:r>
        <w:rPr>
          <w:b/>
        </w:rPr>
        <w:t xml:space="preserve">Wissenschaftlicher Mitarbeiter, Universitäten Halle a.d.S. und Jena</w:t>
      </w:r>
    </w:p>
    <w:p>
      <w:r>
        <w:rPr>
          <w:color w:val="64748B"/>
          <w:sz w:val="20"/>
        </w:rPr>
        <w:t xml:space="preserve">1/1996 - 12/1998</w:t>
      </w:r>
    </w:p>
    <w:p>
      <w:r>
        <w:t xml:space="preserve">Strafrecht</w:t>
      </w:r>
    </w:p>
    <w:p>
      <w:pPr>
        <w:pStyle w:val="Heading1"/>
      </w:pPr>
      <w:r>
        <w:t xml:space="preserve">Tags</w:t>
      </w:r>
    </w:p>
    <w:p>
      <w:r>
        <w:t xml:space="preserve">architektenrecht | mietrecht | baurecht | transaktionen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