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Schluep</w:t>
      </w:r>
    </w:p>
    <w:p>
      <w:r>
        <w:rPr>
          <w:color w:val="64748B"/>
          <w:sz w:val="20"/>
        </w:rPr>
        <w:t xml:space="preserve">bernhard.schluep@gmail.com | https://vutuv.de/bernhard_schlue</w:t>
      </w:r>
    </w:p>
    <w:p>
      <w:r>
        <w:rPr>
          <w:color w:val="64748B"/>
          <w:sz w:val="20"/>
        </w:rPr>
        <w:t xml:space="preserve">n/a, 8000 Zurich, Switzerland</w:t>
      </w:r>
    </w:p>
    <w:p>
      <w:pPr>
        <w:pStyle w:val="Heading1"/>
      </w:pPr>
      <w:r>
        <w:t xml:space="preserve">Tags</w:t>
      </w:r>
    </w:p>
    <w:p>
      <w:r>
        <w:t xml:space="preserve">bancassurance | business process outsourcing | change leadership | compliance | corporate governance | cyber security | digitalisierung | geschäftsführung | geschäftskundenbetreuung | internationale verhandlungsführung | investor relations | islamisches bankwesen | kommunikation | lebensversicherung | m&amp;a expertise | mediation | notleidende gesellschaften | offshoring | pensionskassenverwaltung | private banking | private equity | projektmanagement | rating agencies | rechtsberatung | rechtsschutzversicherung | regulatory affairs | risikomanagement | rückversicherung | solvenz ii | start-ups | strategieentwicklung | strategische partner | takaful | talent management | unternehmerisches denken | venture capital | vermögensverwaltung | versicherungs-run-off | versicherungsvertrieb</w:t>
      </w:r>
    </w:p>
    <w:p>
      <w:pPr>
        <w:pStyle w:val="Heading1"/>
      </w:pPr>
      <w:r>
        <w:t xml:space="preserve">Links</w:t>
      </w:r>
    </w:p>
    <w:p>
      <w:r>
        <w:t xml:space="preserve">LinkedIn: http://ch.linkedin.com/in/insurance2015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