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Bishop Clark</w:t>
      </w:r>
    </w:p>
    <w:p>
      <w:r>
        <w:rPr>
          <w:color w:val="64748B"/>
          <w:sz w:val="20"/>
        </w:rPr>
        <w:t xml:space="preserve">bishopolis@gmail.com | https://vutuv.de/bishopolis</w:t>
      </w:r>
    </w:p>
    <w:p>
      <w:r>
        <w:rPr>
          <w:color w:val="64748B"/>
          <w:sz w:val="20"/>
        </w:rPr>
        <w:t xml:space="preserve">Canada</w:t>
      </w:r>
    </w:p>
    <w:p>
      <w:pPr>
        <w:pStyle w:val="Heading1"/>
      </w:pPr>
      <w:r>
        <w:t xml:space="preserve">Tags</w:t>
      </w:r>
    </w:p>
    <w:p>
      <w:r>
        <w:t xml:space="preserve">Linux | OpenLinux | cinc | mgmtconfig | solaris | terraform | unixware | vtun</w:t>
      </w:r>
    </w:p>
    <w:p>
      <w:pPr>
        <w:pStyle w:val="Heading1"/>
      </w:pPr>
      <w:r>
        <w:t xml:space="preserve">Languages</w:t>
      </w:r>
    </w:p>
    <w:p>
      <w:r>
        <w:t xml:space="preserve">English (Native speaker) | French (A2 (Elementary))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