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Zosel</w:t>
      </w:r>
    </w:p>
    <w:p>
      <w:r>
        <w:rPr>
          <w:color w:val="64748B"/>
          <w:sz w:val="20"/>
        </w:rPr>
        <w:t xml:space="preserve">+352 26 74 55 4429 | https://vutuv.de/bjoern_zosel</w:t>
      </w:r>
    </w:p>
    <w:p>
      <w:r>
        <w:rPr>
          <w:color w:val="64748B"/>
          <w:sz w:val="20"/>
        </w:rPr>
        <w:t xml:space="preserve">Schaffmill 3, 6778 Grevenmacher, Luxembourg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Social Media Analyst, CURE S.A.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competitor analysis | influencer analysis | social media intelligence | social media marketing | social media monitoring | content marketing | microsoft office | social media listening</w:t>
      </w:r>
    </w:p>
    <w:p>
      <w:pPr>
        <w:pStyle w:val="Heading1"/>
      </w:pPr>
      <w:r>
        <w:t xml:space="preserve">Links</w:t>
      </w:r>
    </w:p>
    <w:p>
      <w:r>
        <w:t xml:space="preserve">http://cure-sa.eu/nc/advanced-web-social-media-intelligence.html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