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Steiger</w:t>
      </w:r>
    </w:p>
    <w:p>
      <w:r>
        <w:rPr>
          <w:color w:val="64748B"/>
          <w:sz w:val="20"/>
        </w:rPr>
        <w:t xml:space="preserve">christian.steiger@gmail.com | https://vutuv.de/christian_steig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GBL, Haufe-Lexware GmbH &amp; Co KG</w:t>
      </w:r>
    </w:p>
    <w:p>
      <w:r>
        <w:rPr>
          <w:color w:val="64748B"/>
          <w:sz w:val="20"/>
        </w:rPr>
        <w:t xml:space="preserve">9/2012 -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