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Greitemann</w:t>
      </w:r>
    </w:p>
    <w:p>
      <w:r>
        <w:rPr>
          <w:color w:val="64748B"/>
          <w:sz w:val="20"/>
        </w:rPr>
        <w:t xml:space="preserve">christoph@greitemann.de | https://vutuv.de/christoph_greitemann</w:t>
      </w:r>
    </w:p>
    <w:p>
      <w:r>
        <w:rPr>
          <w:color w:val="64748B"/>
          <w:sz w:val="20"/>
        </w:rPr>
        <w:t xml:space="preserve">53175 Bonn, Germany</w:t>
      </w:r>
    </w:p>
    <w:p>
      <w:pPr>
        <w:pStyle w:val="Heading1"/>
      </w:pPr>
      <w:r>
        <w:t xml:space="preserve">Tags</w:t>
      </w:r>
    </w:p>
    <w:p>
      <w:r>
        <w:t xml:space="preserve">investor relations | Deutsche Telekom | Kapitalmarkt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