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Stieglitz</w:t>
      </w:r>
    </w:p>
    <w:p>
      <w:r>
        <w:rPr>
          <w:color w:val="64748B"/>
          <w:sz w:val="20"/>
        </w:rPr>
        <w:t xml:space="preserve">christoph.stieglitz@optimumeng.ch | https://vutuv.de/christoph_stieg</w:t>
      </w:r>
    </w:p>
    <w:p>
      <w:r>
        <w:rPr>
          <w:color w:val="64748B"/>
          <w:sz w:val="20"/>
        </w:rPr>
        <w:t xml:space="preserve">Hofammtstrasse 5, 6030 Ebikon, Switzerland</w:t>
      </w:r>
    </w:p>
    <w:p>
      <w:pPr>
        <w:pStyle w:val="Heading1"/>
      </w:pPr>
      <w:r>
        <w:t xml:space="preserve">Tags</w:t>
      </w:r>
    </w:p>
    <w:p>
      <w:r>
        <w:t xml:space="preserve">change | change management | IPA | IPD | management | ProjectAlliancing | Projektallianzen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