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Christopher Rauen</w:t>
      </w:r>
    </w:p>
    <w:p>
      <w:r>
        <w:rPr>
          <w:color w:val="64748B"/>
          <w:sz w:val="20"/>
        </w:rPr>
        <w:t xml:space="preserve">info@rauen.de | https://vutuv.de/christopher_rau</w:t>
      </w:r>
    </w:p>
    <w:p>
      <w:r>
        <w:rPr>
          <w:color w:val="64748B"/>
          <w:sz w:val="20"/>
        </w:rPr>
        <w:t xml:space="preserve">Parkstr., 49080 Osnabrück, Germany</w:t>
      </w:r>
    </w:p>
    <w:p>
      <w:pPr>
        <w:pStyle w:val="Heading1"/>
      </w:pPr>
      <w:r>
        <w:t xml:space="preserve">Tags</w:t>
      </w:r>
    </w:p>
    <w:p>
      <w:r>
        <w:t xml:space="preserve">business coaching | coaching | executive coaching | führungskräfte-coaching | leadership coaching</w:t>
      </w:r>
    </w:p>
    <w:p>
      <w:pPr>
        <w:pStyle w:val="Heading1"/>
      </w:pPr>
      <w:r>
        <w:t xml:space="preserve">Links</w:t>
      </w:r>
    </w:p>
    <w:p>
      <w:r>
        <w:t xml:space="preserve">Christopher Rauen GmbH: https://www.rauen.de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