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Beckmann</w:t>
      </w:r>
    </w:p>
    <w:p>
      <w:r>
        <w:rPr>
          <w:color w:val="64748B"/>
          <w:sz w:val="20"/>
        </w:rPr>
        <w:t xml:space="preserve">vutuv@danielbeckmann.com | https://vutuv.de/daniel_beckmann</w:t>
      </w:r>
    </w:p>
    <w:p>
      <w:r>
        <w:rPr>
          <w:color w:val="64748B"/>
          <w:sz w:val="20"/>
        </w:rPr>
        <w:t xml:space="preserve">Date of birth: 19.10.1979</w:t>
      </w:r>
    </w:p>
    <w:p>
      <w:pPr>
        <w:pStyle w:val="Heading1"/>
      </w:pPr>
      <w:r>
        <w:t xml:space="preserve">Tags</w:t>
      </w:r>
    </w:p>
    <w:p>
      <w:r>
        <w:t xml:space="preserve">banken | unternehmensberatung | versicherungen</w:t>
      </w:r>
    </w:p>
    <w:p>
      <w:pPr>
        <w:pStyle w:val="Heading1"/>
      </w:pPr>
      <w:r>
        <w:t xml:space="preserve">Links</w:t>
      </w:r>
    </w:p>
    <w:p>
      <w:r>
        <w:t xml:space="preserve">BBHT Beratungsgesellschaft mbH &amp; Co. KG: https://www.bbht.de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