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Beckmann</w:t>
      </w:r>
    </w:p>
    <w:p>
      <w:r>
        <w:rPr>
          <w:color w:val="64748B"/>
          <w:sz w:val="20"/>
        </w:rPr>
        <w:t xml:space="preserve">vutuv@danielbeckmann.com | https://vutuv.de/daniel_beckmann</w:t>
      </w:r>
    </w:p>
    <w:p>
      <w:pPr>
        <w:pStyle w:val="Heading1"/>
      </w:pPr>
      <w:r>
        <w:t xml:space="preserve">Tags</w:t>
      </w:r>
    </w:p>
    <w:p>
      <w:r>
        <w:t xml:space="preserve">banken | unternehmensberatung | versicherungen</w:t>
      </w:r>
    </w:p>
    <w:p>
      <w:pPr>
        <w:pStyle w:val="Heading1"/>
      </w:pPr>
      <w:r>
        <w:t xml:space="preserve">Links</w:t>
      </w:r>
    </w:p>
    <w:p>
      <w:r>
        <w:t xml:space="preserve">BBHT Beratungsgesellschaft mbH &amp; Co. KG: https://www.bbht.de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