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Dirk Lehnert</w:t>
      </w:r>
    </w:p>
    <w:p>
      <w:r>
        <w:t xml:space="preserve">Head of QbD &amp; Scientific Writing</w:t>
      </w:r>
    </w:p>
    <w:p>
      <w:r>
        <w:rPr>
          <w:color w:val="64748B"/>
          <w:sz w:val="20"/>
        </w:rPr>
        <w:t xml:space="preserve">https://vutuv.de/dirk_lehnert</w:t>
      </w:r>
    </w:p>
    <w:p>
      <w:r>
        <w:rPr>
          <w:color w:val="64748B"/>
          <w:sz w:val="20"/>
        </w:rPr>
        <w:t xml:space="preserve">Germany</w:t>
      </w:r>
    </w:p>
    <w:p>
      <w:pPr>
        <w:pStyle w:val="Heading1"/>
      </w:pPr>
      <w:r>
        <w:t xml:space="preserve">Professional Experience</w:t>
      </w:r>
    </w:p>
    <w:p>
      <w:pPr>
        <w:spacing w:after="20"/>
      </w:pPr>
      <w:r>
        <w:rPr>
          <w:b/>
        </w:rPr>
        <w:t xml:space="preserve">Head of QbD &amp; Scientific Writing, Boehringer Ingelheim</w:t>
      </w:r>
    </w:p>
    <w:p>
      <w:r>
        <w:rPr>
          <w:color w:val="64748B"/>
          <w:sz w:val="20"/>
        </w:rPr>
        <w:t xml:space="preserve">1/2026 - Present</w:t>
      </w:r>
    </w:p>
    <w:p>
      <w:pPr>
        <w:spacing w:after="20"/>
      </w:pPr>
      <w:r>
        <w:rPr>
          <w:b/>
        </w:rPr>
        <w:t xml:space="preserve">Sr. Associate Director, Global CMC Expert Biologics, Boehringer Ingelheim</w:t>
      </w:r>
    </w:p>
    <w:p>
      <w:r>
        <w:rPr>
          <w:color w:val="64748B"/>
          <w:sz w:val="20"/>
        </w:rPr>
        <w:t xml:space="preserve">3/2020 - 12/2025</w:t>
      </w:r>
    </w:p>
    <w:p>
      <w:pPr>
        <w:spacing w:after="20"/>
      </w:pPr>
      <w:r>
        <w:rPr>
          <w:b/>
        </w:rPr>
        <w:t xml:space="preserve">Head of Global Tech RA Germany II, Boehringer Ingelheim</w:t>
      </w:r>
    </w:p>
    <w:p>
      <w:r>
        <w:rPr>
          <w:color w:val="64748B"/>
          <w:sz w:val="20"/>
        </w:rPr>
        <w:t xml:space="preserve">7/2016 - 2/2020</w:t>
      </w:r>
    </w:p>
    <w:p>
      <w:pPr>
        <w:spacing w:after="20"/>
      </w:pPr>
      <w:r>
        <w:rPr>
          <w:b/>
        </w:rPr>
        <w:t xml:space="preserve">Global DRA CMC Manager, Boehringer Ingelheim</w:t>
      </w:r>
    </w:p>
    <w:p>
      <w:r>
        <w:rPr>
          <w:color w:val="64748B"/>
          <w:sz w:val="20"/>
        </w:rPr>
        <w:t xml:space="preserve">4/2012 - 6/2016</w:t>
      </w:r>
    </w:p>
    <w:p>
      <w:pPr>
        <w:spacing w:after="20"/>
      </w:pPr>
      <w:r>
        <w:rPr>
          <w:b/>
        </w:rPr>
        <w:t xml:space="preserve">CMC Projectmanager, Ganymed Pharmaceuticals AG</w:t>
      </w:r>
    </w:p>
    <w:p>
      <w:r>
        <w:rPr>
          <w:color w:val="64748B"/>
          <w:sz w:val="20"/>
        </w:rPr>
        <w:t xml:space="preserve">11/2010 - 4/2012</w:t>
      </w:r>
    </w:p>
    <w:p>
      <w:r>
        <w:t xml:space="preserve">Supervision and support of CMOs and CTOs for external manufacturing and testing of therapeutic monoclonal antibodies (developed by Ganymed Pharmaceuticals). Providing support and review for regulatory documents (e.g. IMPD, IB, comparability studies).</w:t>
      </w:r>
    </w:p>
    <w:p>
      <w:pPr>
        <w:spacing w:after="20"/>
      </w:pPr>
      <w:r>
        <w:rPr>
          <w:b/>
        </w:rPr>
        <w:t xml:space="preserve">Head of Cell Biology / Deputy Head of Quality Control, CellMed AG</w:t>
      </w:r>
    </w:p>
    <w:p>
      <w:r>
        <w:rPr>
          <w:color w:val="64748B"/>
          <w:sz w:val="20"/>
        </w:rPr>
        <w:t xml:space="preserve">4/2006 - 11/2010</w:t>
      </w:r>
    </w:p>
    <w:p>
      <w:r>
        <w:t xml:space="preserve">Development of in vitro bioassays for characterisation and quality control of therapeutically active substances. Furthermore: Development of an aseptic manufacturing process for an investigational medicinal product containing cells (cells encapsulated in alginate for immunoprotection) under GMP. Scientific and regulatory documentation.</w:t>
      </w:r>
    </w:p>
    <w:p>
      <w:pPr>
        <w:spacing w:after="20"/>
      </w:pPr>
      <w:r>
        <w:rPr>
          <w:b/>
        </w:rPr>
        <w:t xml:space="preserve">Scientific Assistant, Universität Karlsruhe</w:t>
      </w:r>
    </w:p>
    <w:p>
      <w:r>
        <w:rPr>
          <w:color w:val="64748B"/>
          <w:sz w:val="20"/>
        </w:rPr>
        <w:t xml:space="preserve">12/2004 - 3/2006</w:t>
      </w:r>
    </w:p>
    <w:p>
      <w:r>
        <w:t xml:space="preserve">I was involved in student's education as well as in interdisciplinary basic research projects concerning cell adhesion on micropatterned substrates.</w:t>
      </w:r>
    </w:p>
    <w:p>
      <w:pPr>
        <w:spacing w:after="20"/>
      </w:pPr>
      <w:r>
        <w:rPr>
          <w:b/>
        </w:rPr>
        <w:t xml:space="preserve">PostDoc, Universität Jena</w:t>
      </w:r>
    </w:p>
    <w:p>
      <w:r>
        <w:rPr>
          <w:color w:val="64748B"/>
          <w:sz w:val="20"/>
        </w:rPr>
        <w:t xml:space="preserve">1/2004 - 12/2004</w:t>
      </w:r>
    </w:p>
    <w:p>
      <w:pPr>
        <w:spacing w:after="20"/>
      </w:pPr>
      <w:r>
        <w:rPr>
          <w:b/>
        </w:rPr>
        <w:t xml:space="preserve">PhD Student, University of Konstanz</w:t>
      </w:r>
    </w:p>
    <w:p>
      <w:r>
        <w:rPr>
          <w:color w:val="64748B"/>
          <w:sz w:val="20"/>
        </w:rPr>
        <w:t xml:space="preserve">2000 - 12/2003</w:t>
      </w:r>
    </w:p>
    <w:p>
      <w:pPr>
        <w:pStyle w:val="Heading1"/>
      </w:pPr>
      <w:r>
        <w:t xml:space="preserve">Education</w:t>
      </w:r>
    </w:p>
    <w:p>
      <w:pPr>
        <w:spacing w:after="20"/>
      </w:pPr>
      <w:r>
        <w:rPr>
          <w:b/>
        </w:rPr>
        <w:t xml:space="preserve">Dr. rer. nat., Universität Konstanz</w:t>
      </w:r>
    </w:p>
    <w:p>
      <w:r>
        <w:rPr>
          <w:color w:val="64748B"/>
          <w:sz w:val="20"/>
        </w:rPr>
        <w:t xml:space="preserve">1999 - 2003</w:t>
      </w:r>
    </w:p>
    <w:p>
      <w:r>
        <w:t xml:space="preserve">Thesis: Influence of micropatterned substrates on cell adhesion and migration.</w:t>
      </w:r>
    </w:p>
    <w:p>
      <w:pPr>
        <w:spacing w:after="20"/>
      </w:pPr>
      <w:r>
        <w:rPr>
          <w:b/>
        </w:rPr>
        <w:t xml:space="preserve">Diploma, Universität Konstanz</w:t>
      </w:r>
    </w:p>
    <w:p>
      <w:r>
        <w:rPr>
          <w:color w:val="64748B"/>
          <w:sz w:val="20"/>
        </w:rPr>
        <w:t xml:space="preserve">10/1994 - 10/1999</w:t>
      </w:r>
    </w:p>
    <w:p>
      <w:r>
        <w:t xml:space="preserve">External diploma thesis at the Institute of Brain Research (ETH/Uni) in Zürich, Switzerland. Title: Development and Characerisation of Monoclonal Antibodies against the AMPA-Receptor-Subunit GluR1 (Jan. 1999 - Oct. 1999)</w:t>
      </w:r>
    </w:p>
    <w:p>
      <w:pPr>
        <w:spacing w:after="20"/>
      </w:pPr>
      <w:r>
        <w:rPr>
          <w:b/>
        </w:rPr>
        <w:t xml:space="preserve">Certificate of apprenticeship, Suedwestdeutsche Landesbank</w:t>
      </w:r>
    </w:p>
    <w:p>
      <w:r>
        <w:rPr>
          <w:color w:val="64748B"/>
          <w:sz w:val="20"/>
        </w:rPr>
        <w:t xml:space="preserve">8/1991 - 6/1993</w:t>
      </w:r>
    </w:p>
    <w:p>
      <w:r>
        <w:t xml:space="preserve">Apprenticeship at the Suedwetdeutsche Landesbank (today: Landesbank Baden-Wuerttemberg) including special courses in the securities trade. Price winner as best apprentice.</w:t>
      </w:r>
    </w:p>
    <w:p>
      <w:pPr>
        <w:pStyle w:val="Heading1"/>
      </w:pPr>
      <w:r>
        <w:t xml:space="preserve">Tags</w:t>
      </w:r>
    </w:p>
    <w:p>
      <w:r>
        <w:t xml:space="preserve">Biologics | development | Pharmaceuticals | regulatory affairs</w:t>
      </w:r>
    </w:p>
    <w:p>
      <w:pPr>
        <w:pStyle w:val="Heading1"/>
      </w:pPr>
      <w:r>
        <w:t xml:space="preserve">Languages</w:t>
      </w:r>
    </w:p>
    <w:p>
      <w:r>
        <w:t xml:space="preserve">German (Native speaker) | English (C2 (Proficient)) | French (B1 (Intermediate))</w:t>
      </w:r>
    </w:p>
    <w:p>
      <w:pPr>
        <w:pStyle w:val="Heading1"/>
      </w:pPr>
      <w:r>
        <w:t xml:space="preserve">Links</w:t>
      </w:r>
    </w:p>
    <w:p>
      <w:r>
        <w:t xml:space="preserve">Personal: http://www.boehringer-ingelheim.com</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