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Gerrit Eicker</w:t>
      </w:r>
    </w:p>
    <w:p>
      <w:r>
        <w:rPr>
          <w:color w:val="64748B"/>
          <w:sz w:val="20"/>
        </w:rPr>
        <w:t xml:space="preserve">https://vutuv.de/eicker</w:t>
      </w:r>
    </w:p>
    <w:p>
      <w:r>
        <w:rPr>
          <w:color w:val="64748B"/>
          <w:sz w:val="20"/>
        </w:rPr>
        <w:t xml:space="preserve">48149 Münster, Germany</w:t>
      </w:r>
    </w:p>
    <w:p>
      <w:pPr>
        <w:pStyle w:val="Heading1"/>
      </w:pPr>
      <w:r>
        <w:t xml:space="preserve">Tags</w:t>
      </w:r>
    </w:p>
    <w:p>
      <w:r>
        <w:t xml:space="preserve">beratung | kommunikation | marketing</w:t>
      </w:r>
    </w:p>
    <w:p>
      <w:pPr>
        <w:pStyle w:val="Heading1"/>
      </w:pPr>
      <w:r>
        <w:t xml:space="preserve">Languages</w:t>
      </w:r>
    </w:p>
    <w:p>
      <w:r>
        <w:t xml:space="preserve">German (Native speaker) | English (C2 (Proficient))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