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Falko Banaszak</w:t>
      </w:r>
    </w:p>
    <w:p>
      <w:r>
        <w:rPr>
          <w:color w:val="64748B"/>
          <w:sz w:val="20"/>
        </w:rPr>
        <w:t xml:space="preserve">https://vutuv.de/falko_banaszak</w:t>
      </w:r>
    </w:p>
    <w:p>
      <w:pPr>
        <w:pStyle w:val="Heading1"/>
      </w:pPr>
      <w:r>
        <w:t xml:space="preserve">Tags</w:t>
      </w:r>
    </w:p>
    <w:p>
      <w:r>
        <w:t xml:space="preserve">Backup Konzepte | Backup-Lösungen | backupstrategien | cloud solutions | consulting | high availability | IBM Spectrum Protect | IBM Spectrum Protect - Deep Dive | ibm storage | IBM Storwize | it-consulting | it-infrastruktur | it service management | it-strategie | konzepte | Lenovo V Storage | microsoft azure | microsoft exchange server | microsoft hyper-v | Microsoft Office 365 | projektleitung | projektmanagement | red hat enterprise linux | Repostor DATA Protector | san | SAN Konzepte | Suse Linux Enterprise Server | teamleitung | technische projektleitung | Third-Level Support | virtualisierung | vmware esx | vmware esxi | vmware vsphere | VMware vSphere - Deep Dive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