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Filip Jedynasiak</w:t>
      </w:r>
    </w:p>
    <w:p>
      <w:r>
        <w:rPr>
          <w:color w:val="64748B"/>
          <w:sz w:val="20"/>
        </w:rPr>
        <w:t xml:space="preserve">filip.jedynasiak@suchdialog.de | https://vutuv.de/filip_jedynasia</w:t>
      </w:r>
    </w:p>
    <w:p>
      <w:r>
        <w:rPr>
          <w:color w:val="64748B"/>
          <w:sz w:val="20"/>
        </w:rPr>
        <w:t xml:space="preserve">S6, 35, 68161 Mannheim, Germany</w:t>
      </w:r>
    </w:p>
    <w:p>
      <w:pPr>
        <w:pStyle w:val="Heading1"/>
      </w:pPr>
      <w:r>
        <w:t xml:space="preserve">Tags</w:t>
      </w:r>
    </w:p>
    <w:p>
      <w:r>
        <w:t xml:space="preserve">conversionoptimierung | adwords marketing | b2c | consulting | digital branding | digital marketing | display advertising | e-mail marketing | google shopping | international | leadgenerierung b2b | marketing e-commerce | marketing employer branding | mobile marketing | performance marketing | personalmarketing | remarketing | sea google adwords | social media advertising | suchmaschinenmarketing (sem) | suchmaschinenoptimierung (seo) | unternehmensberatung | youtube advertising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