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Filip Jedynasiak</w:t>
      </w:r>
    </w:p>
    <w:p>
      <w:r>
        <w:rPr>
          <w:color w:val="64748B"/>
          <w:sz w:val="20"/>
        </w:rPr>
        <w:t xml:space="preserve">filip.jedynasiak@suchdialog.de | https://vutuv.de/filip_jedynasia</w:t>
      </w:r>
    </w:p>
    <w:p>
      <w:r>
        <w:rPr>
          <w:color w:val="64748B"/>
          <w:sz w:val="20"/>
        </w:rPr>
        <w:t xml:space="preserve">S6, 35, 68161 Mannheim,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conversionoptimierung | adwords marketing | b2c | consulting | digital branding | digital marketing | display advertising | e-mail marketing | google shopping | international | leadgenerierung b2b | marketing e-commerce | marketing employer branding | mobile marketing | performancemarketing | personalmarketing | remarketing | sea google adwords | social media advertising | suchmaschinenmarketing (sem) | suchmaschinenoptimierung (seo) | unternehmensberatung | youtube advertising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