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Dieckmann</w:t>
      </w:r>
    </w:p>
    <w:p>
      <w:r>
        <w:t xml:space="preserve">Pfadfinder bei ** polbeo.de ** | Ich mache Systeme wie CiviCRM für Organizing, Fundraising und Mobilizing unter realen Bedingungen nutzbar | Titelgrafik: Desire Path. Mit freundlicher Genehmigung von Chaz Hutton, London, UK, chazhutton.com</w:t>
      </w:r>
    </w:p>
    <w:p>
      <w:r>
        <w:rPr>
          <w:color w:val="64748B"/>
          <w:sz w:val="20"/>
        </w:rPr>
        <w:t xml:space="preserve">https://vutuv.de/florian_dieckmann</w:t>
      </w:r>
    </w:p>
    <w:p>
      <w:r>
        <w:rPr>
          <w:color w:val="64748B"/>
          <w:sz w:val="20"/>
        </w:rPr>
        <w:t xml:space="preserve">67547 Worms, Germany</w:t>
      </w:r>
    </w:p>
    <w:p>
      <w:pPr>
        <w:pStyle w:val="Heading1"/>
      </w:pPr>
      <w:r>
        <w:t xml:space="preserve">Tags</w:t>
      </w:r>
    </w:p>
    <w:p>
      <w:r>
        <w:t xml:space="preserve">marketing | CiviCRM | fundraising | Mobilizing | Organizing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