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Rottermanner</w:t>
      </w:r>
    </w:p>
    <w:p>
      <w:r>
        <w:rPr>
          <w:color w:val="64748B"/>
          <w:sz w:val="20"/>
        </w:rPr>
        <w:t xml:space="preserve">florian@unifox.at | https://vutuv.de/florian_rottermanner</w:t>
      </w:r>
    </w:p>
    <w:p>
      <w:r>
        <w:rPr>
          <w:color w:val="64748B"/>
          <w:sz w:val="20"/>
        </w:rPr>
        <w:t xml:space="preserve">5622 Goldegg, Austria</w:t>
      </w:r>
    </w:p>
    <w:p>
      <w:pPr>
        <w:pStyle w:val="Heading1"/>
      </w:pPr>
      <w:r>
        <w:t xml:space="preserve">Tags</w:t>
      </w:r>
    </w:p>
    <w:p>
      <w:r>
        <w:t xml:space="preserve">debian | firewalls | it-infrastruktur | Linux | nginx | postfix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