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Boettcher</w:t>
      </w:r>
    </w:p>
    <w:p>
      <w:r>
        <w:rPr>
          <w:color w:val="64748B"/>
          <w:sz w:val="20"/>
        </w:rPr>
        <w:t xml:space="preserve">https://vutuv.de/frank_boettcher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c# | centura | gupta | migration | modernization | sql | unify | vb.net</w:t>
      </w:r>
    </w:p>
    <w:p>
      <w:pPr>
        <w:pStyle w:val="Heading1"/>
      </w:pPr>
      <w:r>
        <w:t xml:space="preserve">Links</w:t>
      </w:r>
    </w:p>
    <w:p>
      <w:r>
        <w:t xml:space="preserve">Homepage: http://www.frankboettcher.com</w:t>
      </w:r>
    </w:p>
    <w:p>
      <w:r>
        <w:t xml:space="preserve">Ice Tea Group, LLC: http://www.iceteagroup.com</w:t>
      </w:r>
    </w:p>
    <w:p>
      <w:r>
        <w:t xml:space="preserve">http://www.wisej.com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