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Flachenecker</w:t>
      </w:r>
    </w:p>
    <w:p>
      <w:r>
        <w:rPr>
          <w:color w:val="64748B"/>
          <w:sz w:val="20"/>
        </w:rPr>
        <w:t xml:space="preserve">https://vutuv.de/frank_flachenec</w:t>
      </w:r>
    </w:p>
    <w:p>
      <w:r>
        <w:rPr>
          <w:color w:val="64748B"/>
          <w:sz w:val="20"/>
        </w:rPr>
        <w:t xml:space="preserve">Agnes-Pockels-Bogen 1, 80992 München,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infofab GmbH</w:t>
      </w:r>
    </w:p>
    <w:p>
      <w:r>
        <w:rPr>
          <w:color w:val="64748B"/>
          <w:sz w:val="20"/>
        </w:rPr>
        <w:t xml:space="preserve">1/2016 - Present</w:t>
      </w:r>
    </w:p>
    <w:p>
      <w:pPr>
        <w:pStyle w:val="Heading1"/>
      </w:pPr>
      <w:r>
        <w:t xml:space="preserve">Tags</w:t>
      </w:r>
    </w:p>
    <w:p>
      <w:r>
        <w:t xml:space="preserve">digitale ablagen | medienarchive | pressedatenbanken | digitale archive | informationsmanagement | mediendatebanken | rechenzentrum infrastruktur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