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Flachenecker</w:t>
      </w:r>
    </w:p>
    <w:p>
      <w:r>
        <w:rPr>
          <w:color w:val="64748B"/>
          <w:sz w:val="20"/>
        </w:rPr>
        <w:t xml:space="preserve">https://vutuv.de/frank_flachenec</w:t>
      </w:r>
    </w:p>
    <w:p>
      <w:r>
        <w:rPr>
          <w:color w:val="64748B"/>
          <w:sz w:val="20"/>
        </w:rPr>
        <w:t xml:space="preserve">Agnes-Pockels-Bogen 1, 80992 München,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infofab GmbH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digitale ablagen | medienarchive | pressedatenbanken | digitale archive | informationsmanagement | mediendatebanken | rechenzentrum infrastruktur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