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Goetz Wagnitz</w:t>
      </w:r>
    </w:p>
    <w:p>
      <w:r>
        <w:rPr>
          <w:color w:val="64748B"/>
          <w:sz w:val="20"/>
        </w:rPr>
        <w:t xml:space="preserve">goetz.wagnitz@wagnitz.de | https://vutuv.de/goetz_wagnitz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Onsite machining | Rotating Equipment engineer</w:t>
      </w:r>
    </w:p>
    <w:p>
      <w:pPr>
        <w:pStyle w:val="Heading1"/>
      </w:pPr>
      <w:r>
        <w:t xml:space="preserve">Social Media</w:t>
      </w:r>
    </w:p>
    <w:p>
      <w:r>
        <w:t xml:space="preserve">XING: https://www.xing.com/profile/Goetz_Wagnitz</w:t>
      </w:r>
    </w:p>
    <w:p>
      <w:r>
        <w:t xml:space="preserve">LinkedIn: https://www.linkedin.com/in/goetz-wagnitz-bb354259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