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Goetz Wagnitz</w:t>
      </w:r>
    </w:p>
    <w:p>
      <w:r>
        <w:rPr>
          <w:color w:val="64748B"/>
          <w:sz w:val="20"/>
        </w:rPr>
        <w:t xml:space="preserve">goetz.wagnitz@wagnitz.de | https://vutuv.de/goetz_wagnitz</w:t>
      </w:r>
    </w:p>
    <w:p>
      <w:pPr>
        <w:pStyle w:val="Heading1"/>
      </w:pPr>
      <w:r>
        <w:t xml:space="preserve">Tags</w:t>
      </w:r>
    </w:p>
    <w:p>
      <w:r>
        <w:t xml:space="preserve">Onsite machining | Rotating Equipment engineer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