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Günter Prömpers</w:t>
      </w:r>
    </w:p>
    <w:p>
      <w:r>
        <w:rPr>
          <w:color w:val="64748B"/>
          <w:sz w:val="20"/>
        </w:rPr>
        <w:t xml:space="preserve">guenter.proempers@outlook.de | https://vutuv.de/guenter_proempers</w:t>
      </w:r>
    </w:p>
    <w:p>
      <w:r>
        <w:rPr>
          <w:color w:val="64748B"/>
          <w:sz w:val="20"/>
        </w:rPr>
        <w:t xml:space="preserve">30827 Garbsen, Germany</w:t>
      </w:r>
    </w:p>
    <w:p>
      <w:pPr>
        <w:pStyle w:val="Heading1"/>
      </w:pPr>
      <w:r>
        <w:t xml:space="preserve">Tags</w:t>
      </w:r>
    </w:p>
    <w:p>
      <w:r>
        <w:t xml:space="preserve">AI | AI Enablement | esn | guide | KI | nws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