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Hans-Albrecht Wiehler</w:t>
      </w:r>
    </w:p>
    <w:p>
      <w:r>
        <w:rPr>
          <w:color w:val="64748B"/>
          <w:sz w:val="20"/>
        </w:rPr>
        <w:t xml:space="preserve">hans-albrecht@coworkland.de | https://vutuv.de/hans_albrecht_wiehler</w:t>
      </w:r>
    </w:p>
    <w:p>
      <w:r>
        <w:rPr>
          <w:color w:val="64748B"/>
          <w:sz w:val="20"/>
        </w:rPr>
        <w:t xml:space="preserve">29456 Hitzacker (Elbe), Germany</w:t>
      </w:r>
    </w:p>
    <w:p>
      <w:pPr>
        <w:pStyle w:val="Heading1"/>
      </w:pPr>
      <w:r>
        <w:t xml:space="preserve">Tags</w:t>
      </w:r>
    </w:p>
    <w:p>
      <w:r>
        <w:t xml:space="preserve">Ländliche Räume | Nachhaltigkeitsmanagement | Soziale Innovation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