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Holger Kaffka</w:t>
      </w:r>
    </w:p>
    <w:p>
      <w:r>
        <w:t xml:space="preserve">Beratung, Coaching, Erwachsenenbildung, Mediation</w:t>
        <w:br/>
        <w:t xml:space="preserve">Themenzentrierte Interaktion (Lehrbeauftragter RCI International)</w:t>
        <w:br/>
        <w:t xml:space="preserve">Evangelischer Pfarrer</w:t>
      </w:r>
    </w:p>
    <w:p>
      <w:r>
        <w:rPr>
          <w:color w:val="64748B"/>
          <w:sz w:val="20"/>
        </w:rPr>
        <w:t xml:space="preserve">https://vutuv.de/holger_kaffka</w:t>
      </w:r>
    </w:p>
    <w:p>
      <w:r>
        <w:rPr>
          <w:color w:val="64748B"/>
          <w:sz w:val="20"/>
        </w:rPr>
        <w:t xml:space="preserve">99000 Erfurt, Germany</w:t>
      </w:r>
    </w:p>
    <w:p>
      <w:pPr>
        <w:pStyle w:val="Heading1"/>
      </w:pPr>
      <w:r>
        <w:t xml:space="preserve">Tags</w:t>
      </w:r>
    </w:p>
    <w:p>
      <w:r>
        <w:t xml:space="preserve">FediKirche | kirche | Linux | Theologie | Erfurt | erwachsenenbildung | mediation | TZI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