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Ines Rehm</w:t>
      </w:r>
    </w:p>
    <w:p>
      <w:r>
        <w:rPr>
          <w:color w:val="64748B"/>
          <w:sz w:val="20"/>
        </w:rPr>
        <w:t xml:space="preserve">https://vutuv.de/ines_rehm</w:t>
      </w:r>
    </w:p>
    <w:p>
      <w:pPr>
        <w:pStyle w:val="Heading1"/>
      </w:pPr>
      <w:r>
        <w:t xml:space="preserve">Tags</w:t>
      </w:r>
    </w:p>
    <w:p>
      <w:r>
        <w:t xml:space="preserve">Berufsorientierung | Berufsvorbereitung | Deutsch als Zweitsprache | Ethnologie | Geflüchtete | Neuzugewanderte | Übergang Schule-Beruf</w:t>
      </w:r>
    </w:p>
    <w:p>
      <w:pPr>
        <w:pStyle w:val="Heading1"/>
      </w:pPr>
      <w:r>
        <w:t xml:space="preserve">Links</w:t>
      </w:r>
    </w:p>
    <w:p>
      <w:r>
        <w:t xml:space="preserve">Kompetenztraining: Berufsorientierung: https://www.schlau-lernen.org/unterrichtsmaterialien/kompetenztrainings/berufliche_orientierung/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