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Jean-Claude B.  Reymond</w:t>
      </w:r>
    </w:p>
    <w:p>
      <w:r>
        <w:rPr>
          <w:color w:val="64748B"/>
          <w:sz w:val="20"/>
        </w:rPr>
        <w:t xml:space="preserve">jean-claude.reymond@finma.ch | https://vutuv.de/jean_claude_b_r</w:t>
      </w:r>
    </w:p>
    <w:p>
      <w:pPr>
        <w:pStyle w:val="Heading1"/>
      </w:pPr>
      <w:r>
        <w:t xml:space="preserve">Tags</w:t>
      </w:r>
    </w:p>
    <w:p>
      <w:r>
        <w:t xml:space="preserve">bankenrecht | börsenrecht | corporate governance | finanzmarktrecht | gesellschaftsrecht | m&amp;a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