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Jochen Köhler</w:t>
      </w:r>
    </w:p>
    <w:p>
      <w:r>
        <w:rPr>
          <w:color w:val="64748B"/>
          <w:sz w:val="20"/>
        </w:rPr>
        <w:t xml:space="preserve">https://vutuv.de/jochen_koehler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Köhler Konzept</w:t>
      </w:r>
    </w:p>
    <w:p>
      <w:r>
        <w:rPr>
          <w:color w:val="64748B"/>
          <w:sz w:val="20"/>
        </w:rPr>
        <w:t xml:space="preserve">4/1999 - Present</w:t>
      </w:r>
    </w:p>
    <w:p>
      <w:pPr>
        <w:pStyle w:val="Heading1"/>
      </w:pPr>
      <w:r>
        <w:t xml:space="preserve">Tags</w:t>
      </w:r>
    </w:p>
    <w:p>
      <w:r>
        <w:t xml:space="preserve">kompetenzmanagement | personalwesen | unternehmensberatung | wissensmanagement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