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Johannes Freyer</w:t>
      </w:r>
    </w:p>
    <w:p>
      <w:r>
        <w:rPr>
          <w:color w:val="64748B"/>
          <w:sz w:val="20"/>
        </w:rPr>
        <w:t xml:space="preserve">https://vutuv.de/johannes_freyer</w:t>
      </w:r>
    </w:p>
    <w:p>
      <w:pPr>
        <w:pStyle w:val="Heading1"/>
      </w:pPr>
      <w:r>
        <w:t xml:space="preserve">Tags</w:t>
      </w:r>
    </w:p>
    <w:p>
      <w:r>
        <w:t xml:space="preserve">kulturconsulting | social media | typo3</w:t>
      </w:r>
    </w:p>
    <w:p>
      <w:pPr>
        <w:pStyle w:val="Heading1"/>
      </w:pPr>
      <w:r>
        <w:t xml:space="preserve">Links</w:t>
      </w:r>
    </w:p>
    <w:p>
      <w:r>
        <w:t xml:space="preserve">Internetagentur Margraf New Media GmbH: http://www.margraf-new-media.eu</w:t>
      </w:r>
    </w:p>
    <w:p>
      <w:r>
        <w:t xml:space="preserve">denk-stube Coworking GbR Tübingen: http://www.denk-stube.de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