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Dönch</w:t>
      </w:r>
    </w:p>
    <w:p>
      <w:r>
        <w:rPr>
          <w:color w:val="64748B"/>
          <w:sz w:val="20"/>
        </w:rPr>
        <w:t xml:space="preserve">doench@kanzlei-doench.de | https://vutuv.de/julia_doench</w:t>
      </w:r>
    </w:p>
    <w:p>
      <w:r>
        <w:rPr>
          <w:color w:val="64748B"/>
          <w:sz w:val="20"/>
        </w:rPr>
        <w:t xml:space="preserve">Stuttgart, Germany</w:t>
      </w:r>
    </w:p>
    <w:p>
      <w:pPr>
        <w:pStyle w:val="Heading1"/>
      </w:pPr>
      <w:r>
        <w:t xml:space="preserve">Tags</w:t>
      </w:r>
    </w:p>
    <w:p>
      <w:r>
        <w:t xml:space="preserve">AI | data | intellectual property | Law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