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Katja Riefler</w:t>
      </w:r>
    </w:p>
    <w:p>
      <w:r>
        <w:rPr>
          <w:color w:val="64748B"/>
          <w:sz w:val="20"/>
        </w:rPr>
        <w:t xml:space="preserve">katjar@aimgroup.com | https://vutuv.de/katja_riefler</w:t>
      </w:r>
    </w:p>
    <w:p>
      <w:pPr>
        <w:pStyle w:val="Heading1"/>
      </w:pPr>
      <w:r>
        <w:t xml:space="preserve">Tags</w:t>
      </w:r>
    </w:p>
    <w:p>
      <w:r>
        <w:t xml:space="preserve">Automotive conference | car portals | consulting | e-recruiting | job boards | job sites | automotive portals | c2c | Classifieds | horizontal classifieds | Marketplaces | property portals | real estate | RecTech conference | trend scout | used car trade | vertical classifieds</w:t>
      </w:r>
    </w:p>
    <w:p>
      <w:pPr>
        <w:pStyle w:val="Heading1"/>
      </w:pPr>
      <w:r>
        <w:t xml:space="preserve">Links</w:t>
      </w:r>
    </w:p>
    <w:p>
      <w:r>
        <w:t xml:space="preserve">http://aimgroup.com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https://www.linkedin.com/in/katjariefler</w:t>
      </w:r>
    </w:p>
    <w:p>
      <w:r>
        <w:t xml:space="preserve">Twitter: http://twitter.com/kriefler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