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Leif Erik Wollenweber</w:t>
      </w:r>
    </w:p>
    <w:p>
      <w:r>
        <w:rPr>
          <w:color w:val="64748B"/>
          <w:sz w:val="20"/>
        </w:rPr>
        <w:t xml:space="preserve">erik.wollenweber@hwmc.de | https://vutuv.de/leif_erik_wolle</w:t>
      </w:r>
    </w:p>
    <w:p>
      <w:pPr>
        <w:pStyle w:val="Heading1"/>
      </w:pPr>
      <w:r>
        <w:t xml:space="preserve">Tags</w:t>
      </w:r>
    </w:p>
    <w:p>
      <w:r>
        <w:t xml:space="preserve">change management | Digital Leadership | digital strategy | leadership | strategie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