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Leonhard Häußler</w:t>
      </w:r>
    </w:p>
    <w:p>
      <w:r>
        <w:rPr>
          <w:color w:val="64748B"/>
          <w:sz w:val="20"/>
        </w:rPr>
        <w:t xml:space="preserve">leonhard.haeussler@rwth-aachen.de | https://vutuv.de/leonhard_haeuss</w:t>
      </w:r>
    </w:p>
    <w:p>
      <w:pPr>
        <w:pStyle w:val="Heading1"/>
      </w:pPr>
      <w:r>
        <w:t xml:space="preserve">Tags</w:t>
      </w:r>
    </w:p>
    <w:p>
      <w:r>
        <w:t xml:space="preserve">alternative antriebe | e-mobility | fahrzeugtechnik | hybridfahrzeuge | maschinenbau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