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Ludwig Bayerlein</w:t>
      </w:r>
    </w:p>
    <w:p>
      <w:r>
        <w:rPr>
          <w:color w:val="64748B"/>
          <w:sz w:val="20"/>
        </w:rPr>
        <w:t xml:space="preserve">bayerlein@bayerlein-networks.com | https://vutuv.de/ludwig_bayerlein</w:t>
      </w:r>
    </w:p>
    <w:p>
      <w:r>
        <w:rPr>
          <w:color w:val="64748B"/>
          <w:sz w:val="20"/>
        </w:rPr>
        <w:t xml:space="preserve">80687 München,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bayerlein networks GmbH </w:t>
      </w:r>
    </w:p>
    <w:p>
      <w:r>
        <w:rPr>
          <w:color w:val="64748B"/>
          <w:sz w:val="20"/>
        </w:rPr>
        <w:t xml:space="preserve">9/2017 - Present</w:t>
      </w:r>
    </w:p>
    <w:p>
      <w:pPr>
        <w:pStyle w:val="Heading1"/>
      </w:pPr>
      <w:r>
        <w:t xml:space="preserve">Tags</w:t>
      </w:r>
    </w:p>
    <w:p>
      <w:r>
        <w:t xml:space="preserve">kubernetes | Linux | open source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