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Marcelo Collins</w:t>
      </w:r>
    </w:p>
    <w:p>
      <w:r>
        <w:rPr>
          <w:color w:val="64748B"/>
          <w:sz w:val="20"/>
        </w:rPr>
        <w:t xml:space="preserve">marcelo.collins@vivareal.ch | https://vutuv.de/marcelo_collins</w:t>
      </w:r>
    </w:p>
    <w:p>
      <w:r>
        <w:rPr>
          <w:color w:val="64748B"/>
          <w:sz w:val="20"/>
        </w:rPr>
        <w:t xml:space="preserve">5443 Niederrohrdorf, Switzerland</w:t>
      </w:r>
    </w:p>
    <w:p>
      <w:pPr>
        <w:pStyle w:val="Heading1"/>
      </w:pPr>
      <w:r>
        <w:t xml:space="preserve">Tags</w:t>
      </w:r>
    </w:p>
    <w:p>
      <w:r>
        <w:t xml:space="preserve">finanzen | immobilien | Immobilienbewirtschaftung | Innovation Baubranche | Kooperation BIM | lean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