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Marco Feiten</w:t>
      </w:r>
    </w:p>
    <w:p>
      <w:r>
        <w:t xml:space="preserve">Be cause</w:t>
      </w:r>
    </w:p>
    <w:p>
      <w:r>
        <w:rPr>
          <w:color w:val="64748B"/>
          <w:sz w:val="20"/>
        </w:rPr>
        <w:t xml:space="preserve">marco.feiten@cure-sa.eu | +49 174 3841336 | https://vutuv.de/marco_feiten</w:t>
      </w:r>
    </w:p>
    <w:p>
      <w:r>
        <w:rPr>
          <w:color w:val="64748B"/>
          <w:sz w:val="20"/>
        </w:rPr>
        <w:t xml:space="preserve">Schaffmill 3, 6778 Grevenmacher, Luxembourg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Managing Director, CURE S.A.</w:t>
      </w:r>
    </w:p>
    <w:p>
      <w:r>
        <w:rPr>
          <w:color w:val="64748B"/>
          <w:sz w:val="20"/>
        </w:rPr>
        <w:t xml:space="preserve">8/2009 - Present</w:t>
      </w:r>
    </w:p>
    <w:p>
      <w:r>
        <w:t xml:space="preserve">Advanced Web &amp; Social Media Intelligence</w:t>
      </w:r>
    </w:p>
    <w:p>
      <w:pPr>
        <w:pStyle w:val="Heading1"/>
      </w:pPr>
      <w:r>
        <w:t xml:space="preserve">Tags</w:t>
      </w:r>
    </w:p>
    <w:p>
      <w:r>
        <w:t xml:space="preserve">competitor monitoring | influencer analysis | social listening | social media intelligence | social media monitoring</w:t>
      </w:r>
    </w:p>
    <w:p>
      <w:pPr>
        <w:pStyle w:val="Heading1"/>
      </w:pPr>
      <w:r>
        <w:t xml:space="preserve">Links</w:t>
      </w:r>
    </w:p>
    <w:p>
      <w:r>
        <w:t xml:space="preserve">CURE S.A.: http://www.cure-sa.eu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