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Kretschmann</w:t>
      </w:r>
    </w:p>
    <w:p>
      <w:r>
        <w:rPr>
          <w:color w:val="64748B"/>
          <w:sz w:val="20"/>
        </w:rPr>
        <w:t xml:space="preserve">marcus.kretschmann@t-online.de | https://vutuv.de/marcus_kretschmann</w:t>
      </w:r>
    </w:p>
    <w:p>
      <w:r>
        <w:rPr>
          <w:color w:val="64748B"/>
          <w:sz w:val="20"/>
        </w:rPr>
        <w:t xml:space="preserve">64560 Riedstadt, Germany</w:t>
      </w:r>
    </w:p>
    <w:p>
      <w:pPr>
        <w:pStyle w:val="Heading1"/>
      </w:pPr>
      <w:r>
        <w:t xml:space="preserve">Tags</w:t>
      </w:r>
    </w:p>
    <w:p>
      <w:r>
        <w:t xml:space="preserve">governance | Öffentlicher Sektor | führung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