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Klein</w:t>
      </w:r>
    </w:p>
    <w:p>
      <w:r>
        <w:t xml:space="preserve">~engineering is thinking made usable</w:t>
      </w:r>
    </w:p>
    <w:p>
      <w:r>
        <w:rPr>
          <w:color w:val="64748B"/>
          <w:sz w:val="20"/>
        </w:rPr>
        <w:t xml:space="preserve">https://vutuv.de/markusklein</w:t>
      </w:r>
    </w:p>
    <w:p>
      <w:r>
        <w:rPr>
          <w:color w:val="64748B"/>
          <w:sz w:val="20"/>
        </w:rPr>
        <w:t xml:space="preserve">Tulpenfeld 4, 53113 Bonn,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Engineer, Bundesnetzagentur</w:t>
      </w:r>
    </w:p>
    <w:p>
      <w:r>
        <w:rPr>
          <w:color w:val="64748B"/>
          <w:sz w:val="20"/>
        </w:rPr>
        <w:t xml:space="preserve">1/2012 -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Dipl.-Ing. (FH) Electrical Engineering, RFH Köln</w:t>
      </w:r>
    </w:p>
    <w:p>
      <w:r>
        <w:rPr>
          <w:color w:val="64748B"/>
          <w:sz w:val="20"/>
        </w:rPr>
        <w:t xml:space="preserve">2007 - 2011</w:t>
      </w:r>
    </w:p>
    <w:p>
      <w:pPr>
        <w:pStyle w:val="Heading1"/>
      </w:pPr>
      <w:r>
        <w:t xml:space="preserve">Tags</w:t>
      </w:r>
    </w:p>
    <w:p>
      <w:r>
        <w:t xml:space="preserve">digital markets act | digital services act | grundrechte | Interconnection | Internet | Internet Networking | Internet Protocol Suite (TCP/IP) | Internet Service Provider (ISP) | Internet Services | netneutrality | privacy | Quality of Service (QoS) | Telecom Infrastructure | Telecommunications Billing | Telecommunications Systems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</w:t>
      </w:r>
    </w:p>
    <w:p>
      <w:pPr>
        <w:pStyle w:val="Heading1"/>
      </w:pPr>
      <w:r>
        <w:t xml:space="preserve">Links</w:t>
      </w:r>
    </w:p>
    <w:p>
      <w:r>
        <w:t xml:space="preserve">Company: https://www.bundesnetzagentur.de</w:t>
      </w:r>
    </w:p>
    <w:p>
      <w:r>
        <w:t xml:space="preserve">Company: https://www.dsc.bund.de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