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Wanke</w:t>
      </w:r>
    </w:p>
    <w:p>
      <w:r>
        <w:rPr>
          <w:color w:val="64748B"/>
          <w:sz w:val="20"/>
        </w:rPr>
        <w:t xml:space="preserve">+49 6805 9418956 | https://vutuv.de/martin_wanke</w:t>
      </w:r>
    </w:p>
    <w:p>
      <w:pPr>
        <w:pStyle w:val="Heading1"/>
      </w:pPr>
      <w:r>
        <w:t xml:space="preserve">Tags</w:t>
      </w:r>
    </w:p>
    <w:p>
      <w:r>
        <w:t xml:space="preserve">active directory | activesync | apache | (ba)sh | debian gnu/linux | firewall-systeme | imap | it-netzwerke | it-schulungen | ldap | mailinglisten | mailserver | monitoring | nagios | openxchange | perl | routing | samba | skriptsprachen | smtp | solaris | sophos / astaro | support | systemadministration linux / unix | ubuntu | ucs | virtualisierung | vmware | webserver | xen</w:t>
      </w:r>
    </w:p>
    <w:p>
      <w:pPr>
        <w:pStyle w:val="Heading1"/>
      </w:pPr>
      <w:r>
        <w:t xml:space="preserve">Links</w:t>
      </w:r>
    </w:p>
    <w:p>
      <w:r>
        <w:t xml:space="preserve">Homepage: http://www.mawan.de/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