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Finley</w:t>
      </w:r>
    </w:p>
    <w:p>
      <w:r>
        <w:rPr>
          <w:color w:val="64748B"/>
          <w:sz w:val="20"/>
        </w:rPr>
        <w:t xml:space="preserve">michael_koya21@outlook.com | +49 5082 577838 | https://vutuv.de/michael_finley</w:t>
      </w:r>
    </w:p>
    <w:p>
      <w:r>
        <w:rPr>
          <w:color w:val="64748B"/>
          <w:sz w:val="20"/>
        </w:rPr>
        <w:t xml:space="preserve">94 Lakeside Dr., 01545 Shrewsbury,, Massachusetts, United States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Legal Services, Worcester County Criminal Attorney</w:t>
      </w:r>
    </w:p>
    <w:p>
      <w:r>
        <w:t xml:space="preserve">WorcesterCriminalLaw.org is a comprehensive resource that provides clarity on the state's criminal law. The articles featured on the website can help you understand different criminal charges, defenses, and other pertinent information.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p>
      <w:pPr>
        <w:pStyle w:val="Heading1"/>
      </w:pPr>
      <w:r>
        <w:t xml:space="preserve">Links</w:t>
      </w:r>
    </w:p>
    <w:p>
      <w:r>
        <w:t xml:space="preserve">https://worcestercriminallaw.org/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