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Pilgermann</w:t>
      </w:r>
    </w:p>
    <w:p>
      <w:r>
        <w:rPr>
          <w:color w:val="64748B"/>
          <w:sz w:val="20"/>
        </w:rPr>
        <w:t xml:space="preserve">kichkasch@gmx.de | https://vutuv.de/michael_pilgerm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Technical Expert (Referent IT-Sicherheit), Federal Ministry of Interior</w:t>
      </w:r>
    </w:p>
    <w:p>
      <w:r>
        <w:rPr>
          <w:color w:val="64748B"/>
          <w:sz w:val="20"/>
        </w:rPr>
        <w:t xml:space="preserve">1/2009 - 3/2016</w:t>
      </w:r>
    </w:p>
    <w:p>
      <w:r>
        <w:t xml:space="preserve">Critical Infrastructure Protection</w:t>
      </w:r>
    </w:p>
    <w:p>
      <w:pPr>
        <w:pStyle w:val="Heading1"/>
      </w:pPr>
      <w:r>
        <w:t xml:space="preserve">Tags</w:t>
      </w:r>
    </w:p>
    <w:p>
      <w:r>
        <w:t xml:space="preserve">bsi-100-x | it-grundschutz | information security | isms | iso27000 | it security | tetra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