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Portworsnick</w:t>
      </w:r>
    </w:p>
    <w:p>
      <w:r>
        <w:rPr>
          <w:color w:val="64748B"/>
          <w:sz w:val="20"/>
        </w:rPr>
        <w:t xml:space="preserve">mike.portworsnick@gncs.net | https://vutuv.de/mike_portworsni</w:t>
      </w:r>
    </w:p>
    <w:p>
      <w:r>
        <w:rPr>
          <w:color w:val="64748B"/>
          <w:sz w:val="20"/>
        </w:rPr>
        <w:t xml:space="preserve">Date of birth: 22.01.1972</w:t>
      </w:r>
    </w:p>
    <w:p>
      <w:pPr>
        <w:pStyle w:val="Heading1"/>
      </w:pPr>
      <w:r>
        <w:t xml:space="preserve">Tags</w:t>
      </w:r>
    </w:p>
    <w:p>
      <w:r>
        <w:t xml:space="preserve">governance | strategische planung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