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Blitstein</w:t>
      </w:r>
    </w:p>
    <w:p>
      <w:r>
        <w:rPr>
          <w:color w:val="64748B"/>
          <w:sz w:val="20"/>
        </w:rPr>
        <w:t xml:space="preserve">pb@pct-berlin.org | https://vutuv.de/patrick_blitste</w:t>
      </w:r>
    </w:p>
    <w:p>
      <w:pPr>
        <w:pStyle w:val="Heading1"/>
      </w:pPr>
      <w:r>
        <w:t xml:space="preserve">Tags</w:t>
      </w:r>
    </w:p>
    <w:p>
      <w:r>
        <w:t xml:space="preserve">hyper-v | microsoft exchange | vmware | windows server 2003 - 2016</w:t>
      </w:r>
    </w:p>
    <w:p>
      <w:pPr>
        <w:pStyle w:val="Heading1"/>
      </w:pPr>
      <w:r>
        <w:t xml:space="preserve">Profiles</w:t>
      </w:r>
    </w:p>
    <w:p>
      <w:r>
        <w:t xml:space="preserve">Twitter: http://twitter.com/diepctechniker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