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Sandro Aquini</w:t>
      </w:r>
    </w:p>
    <w:p>
      <w:r>
        <w:rPr>
          <w:color w:val="64748B"/>
          <w:sz w:val="20"/>
        </w:rPr>
        <w:t xml:space="preserve">sandro.aquini@gmx.ch | https://vutuv.de/sandro_aquini</w:t>
      </w:r>
    </w:p>
    <w:p>
      <w:r>
        <w:rPr>
          <w:color w:val="64748B"/>
          <w:sz w:val="20"/>
        </w:rPr>
        <w:t xml:space="preserve">8115 Hüttikon, Switzerland</w:t>
      </w:r>
    </w:p>
    <w:p>
      <w:pPr>
        <w:pStyle w:val="Heading1"/>
      </w:pPr>
      <w:r>
        <w:t xml:space="preserve">Tags</w:t>
      </w:r>
    </w:p>
    <w:p>
      <w:r>
        <w:t xml:space="preserve">azure | Cloud Platforms | powershell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