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Gäbel</w:t>
      </w:r>
    </w:p>
    <w:p>
      <w:r>
        <w:rPr>
          <w:color w:val="64748B"/>
          <w:sz w:val="20"/>
        </w:rPr>
        <w:t xml:space="preserve">https://vutuv.de/sebastian_gaebe</w:t>
      </w:r>
    </w:p>
    <w:p>
      <w:pPr>
        <w:pStyle w:val="Heading1"/>
      </w:pPr>
      <w:r>
        <w:t xml:space="preserve">Tags</w:t>
      </w:r>
    </w:p>
    <w:p>
      <w:r>
        <w:t xml:space="preserve">development | Java | Linux | analysis | business | consultant | git | it | management | perl | process | solr | support | svn | YaCy</w:t>
      </w:r>
    </w:p>
    <w:p>
      <w:pPr>
        <w:pStyle w:val="Heading1"/>
      </w:pPr>
      <w:r>
        <w:t xml:space="preserve">Links</w:t>
      </w:r>
    </w:p>
    <w:p>
      <w:r>
        <w:t xml:space="preserve">freie Suchmaschinensoftware YaCy: http://yacy.net/</w:t>
      </w:r>
    </w:p>
    <w:p>
      <w:r>
        <w:t xml:space="preserve">Moving Targets Consulting: https://mtc.berlin/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