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Silke Dalle-Grave</w:t>
      </w:r>
    </w:p>
    <w:p>
      <w:r>
        <w:rPr>
          <w:color w:val="64748B"/>
          <w:sz w:val="20"/>
        </w:rPr>
        <w:t xml:space="preserve">fine100971@gmx.de | +49 641 95043479 | https://vutuv.de/silke_dalle_gra</w:t>
      </w:r>
    </w:p>
    <w:p>
      <w:r>
        <w:rPr>
          <w:color w:val="64748B"/>
          <w:sz w:val="20"/>
        </w:rPr>
        <w:t xml:space="preserve">Am Urnenfeld 12, 35396 Gießen,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Mediaberaterin, Werbevermarktung Zentralhessen (Standort Gießener Anzeiger)</w:t>
      </w:r>
    </w:p>
    <w:p>
      <w:r>
        <w:rPr>
          <w:color w:val="64748B"/>
          <w:sz w:val="20"/>
        </w:rPr>
        <w:t xml:space="preserve">2/2015 - Present</w:t>
      </w:r>
    </w:p>
    <w:p>
      <w:pPr>
        <w:pStyle w:val="Heading1"/>
      </w:pPr>
      <w:r>
        <w:t xml:space="preserve">Tags</w:t>
      </w:r>
    </w:p>
    <w:p>
      <w:r>
        <w:t xml:space="preserve">medienberaterin</w:t>
      </w:r>
    </w:p>
    <w:p>
      <w:pPr>
        <w:pStyle w:val="Heading1"/>
      </w:pPr>
      <w:r>
        <w:t xml:space="preserve">Links</w:t>
      </w:r>
    </w:p>
    <w:p>
      <w:r>
        <w:t xml:space="preserve">Blog (privat): http://mediaberaterinblog.wordpress.com</w:t>
      </w:r>
    </w:p>
    <w:p>
      <w:r>
        <w:t xml:space="preserve">Webseite (Arbeitsstelle): http://www.maz-verlag.de</w:t>
      </w:r>
    </w:p>
    <w:p>
      <w:r>
        <w:t xml:space="preserve">Webseite (Arbeitsstelle): http://www.giessener-anzeiger.de</w:t>
      </w:r>
    </w:p>
    <w:p>
      <w:pPr>
        <w:pStyle w:val="Heading1"/>
      </w:pPr>
      <w:r>
        <w:t xml:space="preserve">Profiles</w:t>
      </w:r>
    </w:p>
    <w:p>
      <w:r>
        <w:t xml:space="preserve">Twitter: http://twitter.com/SilkeDalleGrave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