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Hoffmann</w:t>
      </w:r>
    </w:p>
    <w:p>
      <w:r>
        <w:rPr>
          <w:color w:val="64748B"/>
          <w:sz w:val="20"/>
        </w:rPr>
        <w:t xml:space="preserve">https://vutuv.de/stefan_hoffmann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Experte, Fiducia &amp; GAD IT AG</w:t>
      </w:r>
    </w:p>
    <w:p>
      <w:r>
        <w:rPr>
          <w:color w:val="64748B"/>
          <w:sz w:val="20"/>
        </w:rPr>
        <w:t xml:space="preserve">10/2010 - Present</w:t>
      </w:r>
    </w:p>
    <w:p>
      <w:pPr>
        <w:pStyle w:val="Heading1"/>
      </w:pPr>
      <w:r>
        <w:t xml:space="preserve">Tags</w:t>
      </w:r>
    </w:p>
    <w:p>
      <w:r>
        <w:t xml:space="preserve">java | osgi | perl | rcp | rtc | rtc/ee | svn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