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Koster</w:t>
      </w:r>
    </w:p>
    <w:p>
      <w:r>
        <w:rPr>
          <w:color w:val="64748B"/>
          <w:sz w:val="20"/>
        </w:rPr>
        <w:t xml:space="preserve">https://vutuv.de/tim_koster</w:t>
      </w:r>
    </w:p>
    <w:p>
      <w:r>
        <w:rPr>
          <w:color w:val="64748B"/>
          <w:sz w:val="20"/>
        </w:rPr>
        <w:t xml:space="preserve">Date of birth: 01/01/1973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Output Management, Mobiliar 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Output Management Consulting , dydocon GmbH </w:t>
      </w:r>
    </w:p>
    <w:p>
      <w:r>
        <w:rPr>
          <w:color w:val="64748B"/>
          <w:sz w:val="20"/>
        </w:rPr>
        <w:t xml:space="preserve">4/2007 - 9/2014</w:t>
      </w:r>
    </w:p>
    <w:p>
      <w:pPr>
        <w:pStyle w:val="Heading1"/>
      </w:pPr>
      <w:r>
        <w:t xml:space="preserve">Tags</w:t>
      </w:r>
    </w:p>
    <w:p>
      <w:r>
        <w:t xml:space="preserve">output management | isis papyrus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