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Udo Neitzel</w:t>
      </w:r>
    </w:p>
    <w:p>
      <w:r>
        <w:t xml:space="preserve">Cyber security beyond compliance</w:t>
      </w:r>
    </w:p>
    <w:p>
      <w:r>
        <w:rPr>
          <w:color w:val="64748B"/>
          <w:sz w:val="20"/>
        </w:rPr>
        <w:t xml:space="preserve">info@neitzel-informatik.de | https://vutuv.de/udo_neitzel</w:t>
      </w:r>
    </w:p>
    <w:p>
      <w:r>
        <w:rPr>
          <w:color w:val="64748B"/>
          <w:sz w:val="20"/>
        </w:rPr>
        <w:t xml:space="preserve">10247 Berlin, Germany</w:t>
      </w:r>
    </w:p>
    <w:p>
      <w:pPr>
        <w:pStyle w:val="Heading1"/>
      </w:pPr>
      <w:r>
        <w:t xml:space="preserve">Tags</w:t>
      </w:r>
    </w:p>
    <w:p>
      <w:r>
        <w:t xml:space="preserve">automotive | cyber security | industrial control | railtech | regulatory compliance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